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38" w:lineRule="auto"/>
        <w:rPr>
          <w:sz w:val="20"/>
          <w:szCs w:val="20"/>
          <w:color w:val="auto"/>
        </w:rPr>
      </w:pPr>
      <w:r>
        <w:rPr>
          <w:rFonts w:ascii="Courier New" w:cs="Courier New" w:eastAsia="Courier New" w:hAnsi="Courier New"/>
          <w:sz w:val="18"/>
          <w:szCs w:val="18"/>
          <w:color w:val="auto"/>
        </w:rPr>
        <w:t>Cooper Companies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#216648402</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#216648402</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125,021</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6,686,135</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6,686,135</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15.000%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#216648402</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6,686,135</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6,686,135</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15.000%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8"/>
          <w:szCs w:val="18"/>
          <w:color w:val="auto"/>
        </w:rPr>
        <w:t>Cooper Companies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6140 Stoneridge Mall Road</w:t>
      </w:r>
    </w:p>
    <w:p>
      <w:pPr>
        <w:ind w:left="1700"/>
        <w:spacing w:after="0" w:line="238" w:lineRule="auto"/>
        <w:rPr>
          <w:sz w:val="20"/>
          <w:szCs w:val="20"/>
          <w:color w:val="auto"/>
        </w:rPr>
      </w:pPr>
      <w:r>
        <w:rPr>
          <w:rFonts w:ascii="Courier New" w:cs="Courier New" w:eastAsia="Courier New" w:hAnsi="Courier New"/>
          <w:sz w:val="18"/>
          <w:szCs w:val="18"/>
          <w:color w:val="auto"/>
        </w:rPr>
        <w:t>Suite 590</w:t>
      </w:r>
    </w:p>
    <w:p>
      <w:pPr>
        <w:ind w:left="1700"/>
        <w:spacing w:after="0"/>
        <w:tabs>
          <w:tab w:leader="none" w:pos="3360" w:val="left"/>
        </w:tabs>
        <w:rPr>
          <w:sz w:val="20"/>
          <w:szCs w:val="20"/>
          <w:color w:val="auto"/>
        </w:rPr>
      </w:pPr>
      <w:r>
        <w:rPr>
          <w:rFonts w:ascii="Courier New" w:cs="Courier New" w:eastAsia="Courier New" w:hAnsi="Courier New"/>
          <w:sz w:val="18"/>
          <w:szCs w:val="18"/>
          <w:color w:val="auto"/>
        </w:rPr>
        <w:t>Pleasanton, CA</w:t>
      </w:r>
      <w:r>
        <w:rPr>
          <w:sz w:val="20"/>
          <w:szCs w:val="20"/>
          <w:color w:val="auto"/>
        </w:rPr>
        <w:tab/>
      </w:r>
      <w:r>
        <w:rPr>
          <w:rFonts w:ascii="Courier New" w:cs="Courier New" w:eastAsia="Courier New" w:hAnsi="Courier New"/>
          <w:sz w:val="16"/>
          <w:szCs w:val="16"/>
          <w:color w:val="auto"/>
        </w:rPr>
        <w:t>94588</w:t>
      </w:r>
    </w:p>
    <w:p>
      <w:pPr>
        <w:spacing w:after="0" w:line="200" w:lineRule="exact"/>
        <w:rPr>
          <w:sz w:val="24"/>
          <w:szCs w:val="24"/>
          <w:color w:val="auto"/>
        </w:rPr>
      </w:pP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216648402</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6,686,135</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15.000%</w:t>
            </w:r>
          </w:p>
        </w:tc>
        <w:tc>
          <w:tcPr>
            <w:tcW w:w="100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134"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125,021</w:t>
      </w:r>
    </w:p>
    <w:p>
      <w:pPr>
        <w:spacing w:after="0" w:line="200" w:lineRule="exact"/>
        <w:rPr>
          <w:sz w:val="20"/>
          <w:szCs w:val="20"/>
          <w:color w:val="auto"/>
        </w:rPr>
      </w:pPr>
    </w:p>
    <w:p>
      <w:pPr>
        <w:sectPr>
          <w:pgSz w:w="11900" w:h="16838" w:orient="portrait"/>
          <w:cols w:equalWidth="0" w:num="2">
            <w:col w:w="1160" w:space="540"/>
            <w:col w:w="8519"/>
          </w:cols>
          <w:pgMar w:left="240" w:top="136" w:right="1440" w:bottom="134"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6,686,135</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Cooper Companies</w:t>
      </w:r>
    </w:p>
    <w:p>
      <w:pPr>
        <w:spacing w:after="0" w:line="6"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Incorporated. The interest of one person, Fidelity Low Priced Stock Fund, an investment company registered under the Investment Company Act of 1940, in the Common Stock of Cooper Companies Incorporated, amounted to 2,500,012</w:t>
      </w:r>
    </w:p>
    <w:p>
      <w:pPr>
        <w:spacing w:after="0" w:line="5"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shares or 5.609% of the total outstanding Common Stock at November 30, 2005.</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12, 2005</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dated December 30, 1997 by and on behalf of FMR Corp. and its direct and indirect subsidiaries</w:t>
      </w:r>
    </w:p>
    <w:p>
      <w:pPr>
        <w:sectPr>
          <w:pgSz w:w="11900" w:h="16838" w:orient="portrait"/>
          <w:cols w:equalWidth="0" w:num="1">
            <w:col w:w="10219"/>
          </w:cols>
          <w:pgMar w:left="240" w:top="136" w:right="1440" w:bottom="134" w:gutter="0" w:footer="0" w:header="0"/>
          <w:type w:val="continuous"/>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w:t>
      </w:r>
    </w:p>
    <w:p>
      <w:pPr>
        <w:spacing w:after="0" w:line="6"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of 1940, is the beneficial owner of 6,579,114 shares or 14.760% of the Common Stock outstanding of Cooper Companies Incorporated ("the Company") as a result of acting as investment adviser to various investment companies registered under Section 8 of the Investment Company Act of 1940. The number of shares of Common Stock of Cooper Companies Incorporated owned by the investment companies</w:t>
      </w:r>
    </w:p>
    <w:p>
      <w:pPr>
        <w:spacing w:after="0" w:line="1" w:lineRule="exact"/>
        <w:rPr>
          <w:sz w:val="20"/>
          <w:szCs w:val="20"/>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at November 30, 2005 included 168,901 shares of Common Stock resulting from the assumed conversion of $7,500,000 principal amount of COOPER CONV 2.625% 7/1/23 144A</w:t>
      </w:r>
    </w:p>
    <w:p>
      <w:pPr>
        <w:spacing w:after="0" w:line="1" w:lineRule="exact"/>
        <w:rPr>
          <w:sz w:val="20"/>
          <w:szCs w:val="20"/>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(22.5201 shares of Common Stock for each $1,000 principal amount of debenture). The number of shares of Common Stock of Cooper Companies Incorporated owned by the investment companies at November 30, 2005 included</w:t>
      </w:r>
    </w:p>
    <w:p>
      <w:pPr>
        <w:spacing w:after="0" w:line="5" w:lineRule="exact"/>
        <w:rPr>
          <w:sz w:val="20"/>
          <w:szCs w:val="20"/>
          <w:color w:val="auto"/>
        </w:rPr>
      </w:pPr>
    </w:p>
    <w:p>
      <w:pPr>
        <w:ind w:right="4199"/>
        <w:spacing w:after="0" w:line="275" w:lineRule="auto"/>
        <w:rPr>
          <w:sz w:val="20"/>
          <w:szCs w:val="20"/>
          <w:color w:val="auto"/>
        </w:rPr>
      </w:pPr>
      <w:r>
        <w:rPr>
          <w:rFonts w:ascii="Courier New" w:cs="Courier New" w:eastAsia="Courier New" w:hAnsi="Courier New"/>
          <w:sz w:val="16"/>
          <w:szCs w:val="16"/>
          <w:color w:val="auto"/>
        </w:rPr>
        <w:t>225,201 shares of Common Stock resulting from the assumed conversion of $10,000,000 principal amount of COOPER COS CONV 2.625% 7/01/23 (22.5201 shares of Common Stock for each $1,000 principal amount of debenture).</w:t>
      </w:r>
    </w:p>
    <w:p>
      <w:pPr>
        <w:spacing w:after="0" w:line="182" w:lineRule="exact"/>
        <w:rPr>
          <w:sz w:val="20"/>
          <w:szCs w:val="20"/>
          <w:color w:val="auto"/>
        </w:rPr>
      </w:pPr>
    </w:p>
    <w:p>
      <w:pPr>
        <w:ind w:right="4199" w:firstLine="843"/>
        <w:spacing w:after="0" w:line="273" w:lineRule="auto"/>
        <w:rPr>
          <w:sz w:val="20"/>
          <w:szCs w:val="20"/>
          <w:color w:val="auto"/>
        </w:rPr>
      </w:pPr>
      <w:r>
        <w:rPr>
          <w:rFonts w:ascii="Courier New" w:cs="Courier New" w:eastAsia="Courier New" w:hAnsi="Courier New"/>
          <w:sz w:val="16"/>
          <w:szCs w:val="16"/>
          <w:color w:val="auto"/>
        </w:rPr>
        <w:t>The ownership of one investment company, Fidelity Low Priced Stock Fund, amounted to 2,500,012 shares or 5.609% of the Common Stock outstanding. Fidelity Low Priced Stock Fund has its principal business office at 82 Devonshire Street, Boston, Massachusetts 02109.</w:t>
      </w:r>
    </w:p>
    <w:p>
      <w:pPr>
        <w:spacing w:after="0" w:line="185"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Corp., through its control of Fidelity, and the funds each has sole power to dispose of the 6,579,114 shares owned by the Funds.</w:t>
      </w:r>
    </w:p>
    <w:p>
      <w:pPr>
        <w:spacing w:after="0" w:line="209" w:lineRule="exact"/>
        <w:rPr>
          <w:sz w:val="20"/>
          <w:szCs w:val="20"/>
          <w:color w:val="auto"/>
        </w:rPr>
      </w:pPr>
    </w:p>
    <w:p>
      <w:pPr>
        <w:ind w:right="3679" w:firstLine="843"/>
        <w:spacing w:after="0" w:line="238" w:lineRule="auto"/>
        <w:rPr>
          <w:sz w:val="20"/>
          <w:szCs w:val="20"/>
          <w:color w:val="auto"/>
        </w:rPr>
      </w:pPr>
      <w:r>
        <w:rPr>
          <w:rFonts w:ascii="Courier New" w:cs="Courier New" w:eastAsia="Courier New" w:hAnsi="Courier New"/>
          <w:sz w:val="18"/>
          <w:szCs w:val="18"/>
          <w:color w:val="auto"/>
        </w:rPr>
        <w:t>Members of the family of Edward C. Johnson 3d, Chairman of FMR Corp., are the predominant owners, directly or through trusts, of Series B shares of common stock of FMR Corp., representing 49% of the voting power of FMR Corp. The Johnson family group and all other Series B shareholders have entered into a shareholders' voting agreement under which all Series B shares will be voted in accordance with the majority vote of Series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7"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86,700 shares or 0.195% of the Common Stock outstanding of the Company as a result of its serving as investment manager of the institutional account(s).</w:t>
      </w:r>
    </w:p>
    <w:p>
      <w:pPr>
        <w:spacing w:after="0" w:line="211" w:lineRule="exact"/>
        <w:rPr>
          <w:sz w:val="20"/>
          <w:szCs w:val="20"/>
          <w:color w:val="auto"/>
        </w:rPr>
      </w:pPr>
    </w:p>
    <w:p>
      <w:pPr>
        <w:ind w:right="3999" w:firstLine="843"/>
        <w:spacing w:after="0" w:line="273" w:lineRule="auto"/>
        <w:rPr>
          <w:sz w:val="20"/>
          <w:szCs w:val="20"/>
          <w:color w:val="auto"/>
        </w:rPr>
      </w:pPr>
      <w:r>
        <w:rPr>
          <w:rFonts w:ascii="Courier New" w:cs="Courier New" w:eastAsia="Courier New" w:hAnsi="Courier New"/>
          <w:sz w:val="16"/>
          <w:szCs w:val="16"/>
          <w:color w:val="auto"/>
        </w:rPr>
        <w:t>Edward C. Johnson 3d and FMR Corp., through its control of Fidelity Management Trust Company, each has sole dispositive power over 86,700 shares and sole power to vote or to direct the voting of 86,700 shares of Common Stock owned by the institutional account(s) as reported above.</w:t>
      </w:r>
    </w:p>
    <w:p>
      <w:pPr>
        <w:spacing w:after="0" w:line="185"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Corp. and an investment adviser registered under Section 203 of the Investment Advisers Act of 1940, provides investment advisory services to individuals. As such, FMR Corp.'s beneficial ownership includes 221 shares, or 0.000%, of the Common Stock stock outstanding of Cooper Companies</w:t>
      </w:r>
    </w:p>
    <w:p>
      <w:pPr>
        <w:sectPr>
          <w:pgSz w:w="11900" w:h="16838" w:orient="portrait"/>
          <w:cols w:equalWidth="0" w:num="1">
            <w:col w:w="10219"/>
          </w:cols>
          <w:pgMar w:left="240" w:top="136" w:right="1440" w:bottom="0" w:gutter="0" w:footer="0" w:header="0"/>
        </w:sectPr>
      </w:pPr>
    </w:p>
    <w:bookmarkStart w:id="3" w:name="page4"/>
    <w:bookmarkEnd w:id="3"/>
    <w:p>
      <w:pPr>
        <w:ind w:right="3899"/>
        <w:spacing w:after="0" w:line="235" w:lineRule="auto"/>
        <w:rPr>
          <w:sz w:val="20"/>
          <w:szCs w:val="20"/>
          <w:color w:val="auto"/>
        </w:rPr>
      </w:pPr>
      <w:r>
        <w:rPr>
          <w:rFonts w:ascii="Courier New" w:cs="Courier New" w:eastAsia="Courier New" w:hAnsi="Courier New"/>
          <w:sz w:val="18"/>
          <w:szCs w:val="18"/>
          <w:color w:val="auto"/>
        </w:rPr>
        <w:t>Incorporated, beneficially owned through Strategic Advisers, Inc.</w:t>
      </w:r>
    </w:p>
    <w:p>
      <w:pPr>
        <w:spacing w:after="0" w:line="208"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International Limited ("FIL"), Pembroke Hall, 42 Crow Lane, Hamilton, Bermuda, and various foreign-based subsidiaries provide investment advisory and management services to a number of non-U.S. investment companies and certain institutional investors. FIL, which is a qualified institution under section 240.13d-1(b)(1) pursuant to an SEC No-Action letter dated October 5, 2000, is the beneficial owner of 20,100 shares or 0.045% of the Common Stock outstanding of the Company.</w:t>
      </w:r>
    </w:p>
    <w:p>
      <w:pPr>
        <w:spacing w:after="0" w:line="214" w:lineRule="exact"/>
        <w:rPr>
          <w:sz w:val="20"/>
          <w:szCs w:val="20"/>
          <w:color w:val="auto"/>
        </w:rPr>
      </w:pPr>
    </w:p>
    <w:p>
      <w:pPr>
        <w:ind w:right="3899" w:firstLine="843"/>
        <w:spacing w:after="0" w:line="268" w:lineRule="auto"/>
        <w:rPr>
          <w:sz w:val="20"/>
          <w:szCs w:val="20"/>
          <w:color w:val="auto"/>
        </w:rPr>
      </w:pPr>
      <w:r>
        <w:rPr>
          <w:rFonts w:ascii="Courier New" w:cs="Courier New" w:eastAsia="Courier New" w:hAnsi="Courier New"/>
          <w:sz w:val="16"/>
          <w:szCs w:val="16"/>
          <w:color w:val="auto"/>
        </w:rPr>
        <w:t>A partnership controlled predominantly by members of the family of Edward C. Johnson 3d, Chairman of FMR Corp.</w:t>
      </w:r>
    </w:p>
    <w:p>
      <w:pPr>
        <w:ind w:right="3579"/>
        <w:spacing w:after="0" w:line="268" w:lineRule="auto"/>
        <w:rPr>
          <w:sz w:val="20"/>
          <w:szCs w:val="20"/>
          <w:color w:val="auto"/>
        </w:rPr>
      </w:pPr>
      <w:r>
        <w:rPr>
          <w:rFonts w:ascii="Courier New" w:cs="Courier New" w:eastAsia="Courier New" w:hAnsi="Courier New"/>
          <w:sz w:val="16"/>
          <w:szCs w:val="16"/>
          <w:color w:val="auto"/>
        </w:rPr>
        <w:t>and FIL, or trusts for their benefit, owns shares of FIL voting stock with the right to cast approximately 38% of the total votes which may be cast by all holders of FIL voting stock.</w:t>
      </w:r>
    </w:p>
    <w:p>
      <w:pPr>
        <w:spacing w:after="0" w:line="1"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8"/>
          <w:szCs w:val="18"/>
          <w:color w:val="auto"/>
        </w:rPr>
        <w:t>FMR Corp. and FIL are separate and independent corporate entities, and their Boards of Directors are generally composed of different individuals.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 joint basis.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December 12, 2005, agree and consent to the joint filing on their behalf of this Schedule 13G in connection with their beneficial ownership of the Common Stock of Cooper Companies Incorporated at November 30, 2005.</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FMR Corp.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Edward C. Johnson 3d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Low Priced Stock Fund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Secretary</w:t>
      </w:r>
    </w:p>
    <w:p>
      <w:pPr>
        <w:sectPr>
          <w:pgSz w:w="11900" w:h="16838" w:orient="portrait"/>
          <w:cols w:equalWidth="0" w:num="1">
            <w:col w:w="10219"/>
          </w:cols>
          <w:pgMar w:left="240" w:top="142" w:right="1440" w:bottom="942"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2019-12-13T12:03:55Z</dcterms:created>
  <dcterms:modified xsi:type="dcterms:W3CDTF">2019-12-13T12:03:55Z</dcterms:modified>
</cp:coreProperties>
</file>